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3F54" w14:textId="5E59C275" w:rsidR="008E05F7" w:rsidRPr="00957313" w:rsidRDefault="008E05F7" w:rsidP="00E85221">
      <w:pPr>
        <w:spacing w:after="0" w:line="240" w:lineRule="auto"/>
        <w:jc w:val="center"/>
        <w:rPr>
          <w:rFonts w:ascii="Tahoma" w:hAnsi="Tahoma" w:cs="Tahoma"/>
          <w:b/>
        </w:rPr>
      </w:pPr>
      <w:bookmarkStart w:id="0" w:name="_Hlk10217333"/>
      <w:r w:rsidRPr="00957313">
        <w:rPr>
          <w:rFonts w:ascii="Tahoma" w:hAnsi="Tahoma" w:cs="Tahoma"/>
          <w:b/>
        </w:rPr>
        <w:t xml:space="preserve">Centralizator observații  pentru documentele întocmite pentru implememtarea prevederilor Ordinului ANRE nr. </w:t>
      </w:r>
      <w:r w:rsidR="000C6B5A">
        <w:rPr>
          <w:rFonts w:ascii="Tahoma" w:hAnsi="Tahoma" w:cs="Tahoma"/>
          <w:b/>
        </w:rPr>
        <w:t>129</w:t>
      </w:r>
      <w:r w:rsidRPr="00957313">
        <w:rPr>
          <w:rFonts w:ascii="Tahoma" w:hAnsi="Tahoma" w:cs="Tahoma"/>
          <w:b/>
        </w:rPr>
        <w:t>/20</w:t>
      </w:r>
      <w:r w:rsidR="00AF480B" w:rsidRPr="00957313">
        <w:rPr>
          <w:rFonts w:ascii="Tahoma" w:hAnsi="Tahoma" w:cs="Tahoma"/>
          <w:b/>
        </w:rPr>
        <w:t>20</w:t>
      </w:r>
      <w:r w:rsidRPr="00957313">
        <w:rPr>
          <w:rFonts w:ascii="Tahoma" w:hAnsi="Tahoma" w:cs="Tahoma"/>
          <w:b/>
        </w:rPr>
        <w:t>:</w:t>
      </w:r>
    </w:p>
    <w:p w14:paraId="5DDDC28B" w14:textId="5139E9E4" w:rsidR="000C6B5A" w:rsidRPr="00957313" w:rsidRDefault="007C3593" w:rsidP="00AF480B">
      <w:pPr>
        <w:spacing w:after="0" w:line="240" w:lineRule="auto"/>
        <w:jc w:val="center"/>
        <w:rPr>
          <w:rFonts w:ascii="Tahoma" w:hAnsi="Tahoma" w:cs="Tahoma"/>
          <w:b/>
        </w:rPr>
      </w:pPr>
      <w:r w:rsidRPr="007C3593">
        <w:rPr>
          <w:rFonts w:ascii="Tahoma" w:hAnsi="Tahoma" w:cs="Tahoma"/>
          <w:b/>
        </w:rPr>
        <w:t>PROCEDURA PRIVIND ÎNREGISTRAREA PARTICIPANŢILOR LA PIAŢA CENTRALIZATĂ DESTINATĂ ATRIBUIRII CONTRACTELOR DE ENERGIE ELECTRICĂ PENTRU PERIOADE LUNGI DE LIVRARE</w:t>
      </w:r>
    </w:p>
    <w:tbl>
      <w:tblPr>
        <w:tblStyle w:val="TableGrid"/>
        <w:tblW w:w="15055" w:type="dxa"/>
        <w:tblInd w:w="-601" w:type="dxa"/>
        <w:tblLayout w:type="fixed"/>
        <w:tblLook w:val="04A0" w:firstRow="1" w:lastRow="0" w:firstColumn="1" w:lastColumn="0" w:noHBand="0" w:noVBand="1"/>
      </w:tblPr>
      <w:tblGrid>
        <w:gridCol w:w="1447"/>
        <w:gridCol w:w="2864"/>
        <w:gridCol w:w="4082"/>
        <w:gridCol w:w="3402"/>
        <w:gridCol w:w="3260"/>
      </w:tblGrid>
      <w:tr w:rsidR="00975A12" w:rsidRPr="00957313" w14:paraId="00B0BDAD" w14:textId="3356055B" w:rsidTr="0039354B">
        <w:trPr>
          <w:trHeight w:val="478"/>
        </w:trPr>
        <w:tc>
          <w:tcPr>
            <w:tcW w:w="1447" w:type="dxa"/>
            <w:shd w:val="clear" w:color="auto" w:fill="auto"/>
          </w:tcPr>
          <w:p w14:paraId="066038DD" w14:textId="3A263827" w:rsidR="00975A12" w:rsidRPr="00957313" w:rsidRDefault="00975A12" w:rsidP="00E85221">
            <w:pPr>
              <w:jc w:val="center"/>
              <w:rPr>
                <w:rFonts w:ascii="Tahoma" w:hAnsi="Tahoma" w:cs="Tahoma"/>
              </w:rPr>
            </w:pPr>
            <w:r w:rsidRPr="00957313">
              <w:rPr>
                <w:rFonts w:ascii="Tahoma" w:hAnsi="Tahoma" w:cs="Tahoma"/>
              </w:rPr>
              <w:t>Art.</w:t>
            </w:r>
          </w:p>
        </w:tc>
        <w:tc>
          <w:tcPr>
            <w:tcW w:w="2864" w:type="dxa"/>
            <w:shd w:val="clear" w:color="auto" w:fill="auto"/>
          </w:tcPr>
          <w:p w14:paraId="34722F75" w14:textId="5ECE9E33" w:rsidR="00975A12" w:rsidRPr="00957313" w:rsidRDefault="00975A12" w:rsidP="00E85221">
            <w:pPr>
              <w:jc w:val="center"/>
              <w:rPr>
                <w:rFonts w:ascii="Tahoma" w:hAnsi="Tahoma" w:cs="Tahoma"/>
                <w:b/>
              </w:rPr>
            </w:pPr>
            <w:r w:rsidRPr="00957313">
              <w:rPr>
                <w:rFonts w:ascii="Tahoma" w:hAnsi="Tahoma" w:cs="Tahoma"/>
                <w:b/>
              </w:rPr>
              <w:t>Text de referință</w:t>
            </w:r>
          </w:p>
        </w:tc>
        <w:tc>
          <w:tcPr>
            <w:tcW w:w="4082" w:type="dxa"/>
            <w:shd w:val="clear" w:color="auto" w:fill="auto"/>
          </w:tcPr>
          <w:p w14:paraId="1B9365AF" w14:textId="5A0F5116" w:rsidR="00975A12" w:rsidRPr="00957313" w:rsidRDefault="00975A12" w:rsidP="00E85221">
            <w:pPr>
              <w:jc w:val="center"/>
              <w:rPr>
                <w:rFonts w:ascii="Tahoma" w:hAnsi="Tahoma" w:cs="Tahoma"/>
                <w:b/>
                <w:i/>
              </w:rPr>
            </w:pPr>
            <w:r w:rsidRPr="00957313">
              <w:rPr>
                <w:rFonts w:ascii="Tahoma" w:hAnsi="Tahoma" w:cs="Tahoma"/>
                <w:b/>
              </w:rPr>
              <w:t>Observații/propuneri</w:t>
            </w:r>
          </w:p>
        </w:tc>
        <w:tc>
          <w:tcPr>
            <w:tcW w:w="3402" w:type="dxa"/>
          </w:tcPr>
          <w:p w14:paraId="58F9AC02" w14:textId="18A6959B" w:rsidR="00975A12" w:rsidRPr="00957313" w:rsidRDefault="00975A12" w:rsidP="00E85221">
            <w:pPr>
              <w:jc w:val="center"/>
              <w:rPr>
                <w:rFonts w:ascii="Tahoma" w:hAnsi="Tahoma" w:cs="Tahoma"/>
                <w:b/>
              </w:rPr>
            </w:pPr>
            <w:r w:rsidRPr="00957313">
              <w:rPr>
                <w:rFonts w:ascii="Tahoma" w:hAnsi="Tahoma" w:cs="Tahoma"/>
                <w:b/>
              </w:rPr>
              <w:t>Clarificări Opcom</w:t>
            </w:r>
          </w:p>
        </w:tc>
        <w:tc>
          <w:tcPr>
            <w:tcW w:w="3260" w:type="dxa"/>
          </w:tcPr>
          <w:p w14:paraId="06185073" w14:textId="49C62244" w:rsidR="00975A12" w:rsidRPr="00957313" w:rsidRDefault="00975A12" w:rsidP="00E85221">
            <w:pPr>
              <w:jc w:val="center"/>
              <w:rPr>
                <w:rFonts w:ascii="Tahoma" w:hAnsi="Tahoma" w:cs="Tahoma"/>
                <w:b/>
              </w:rPr>
            </w:pPr>
            <w:r w:rsidRPr="00957313">
              <w:rPr>
                <w:rFonts w:ascii="Tahoma" w:hAnsi="Tahoma" w:cs="Tahoma"/>
                <w:b/>
              </w:rPr>
              <w:t>Text final</w:t>
            </w:r>
          </w:p>
        </w:tc>
      </w:tr>
      <w:tr w:rsidR="00547E91" w:rsidRPr="00957313" w14:paraId="3D87D888" w14:textId="77777777" w:rsidTr="0039354B">
        <w:tc>
          <w:tcPr>
            <w:tcW w:w="1447" w:type="dxa"/>
          </w:tcPr>
          <w:p w14:paraId="0F2729B2" w14:textId="2409977E" w:rsidR="00547E91" w:rsidRPr="00957313" w:rsidRDefault="00D169C5" w:rsidP="00255933">
            <w:pPr>
              <w:rPr>
                <w:rFonts w:ascii="Tahoma" w:hAnsi="Tahoma" w:cs="Tahoma"/>
              </w:rPr>
            </w:pPr>
            <w:r w:rsidRPr="00957313">
              <w:rPr>
                <w:rFonts w:ascii="Tahoma" w:hAnsi="Tahoma" w:cs="Tahoma"/>
              </w:rPr>
              <w:t>General</w:t>
            </w:r>
          </w:p>
        </w:tc>
        <w:tc>
          <w:tcPr>
            <w:tcW w:w="2864" w:type="dxa"/>
          </w:tcPr>
          <w:p w14:paraId="6C774FA1" w14:textId="77777777" w:rsidR="00547E91" w:rsidRPr="00957313" w:rsidRDefault="00547E91" w:rsidP="00255933">
            <w:pPr>
              <w:rPr>
                <w:rFonts w:ascii="Tahoma" w:hAnsi="Tahoma" w:cs="Tahoma"/>
              </w:rPr>
            </w:pPr>
          </w:p>
        </w:tc>
        <w:tc>
          <w:tcPr>
            <w:tcW w:w="4082" w:type="dxa"/>
          </w:tcPr>
          <w:p w14:paraId="3836B5A5" w14:textId="4C0B516D" w:rsidR="00645E52" w:rsidRPr="00EB0CAA" w:rsidRDefault="00645E52" w:rsidP="00255933">
            <w:pPr>
              <w:rPr>
                <w:rFonts w:ascii="Tahoma" w:hAnsi="Tahoma" w:cs="Tahoma"/>
                <w:lang w:val="es-PE"/>
              </w:rPr>
            </w:pPr>
          </w:p>
        </w:tc>
        <w:tc>
          <w:tcPr>
            <w:tcW w:w="3402" w:type="dxa"/>
          </w:tcPr>
          <w:p w14:paraId="25E352FC" w14:textId="6264B1F1" w:rsidR="00547E91" w:rsidRPr="00957313" w:rsidRDefault="00547E91" w:rsidP="00255933">
            <w:pPr>
              <w:jc w:val="both"/>
              <w:rPr>
                <w:rFonts w:ascii="Tahoma" w:hAnsi="Tahoma" w:cs="Tahoma"/>
                <w:bCs/>
              </w:rPr>
            </w:pPr>
          </w:p>
        </w:tc>
        <w:tc>
          <w:tcPr>
            <w:tcW w:w="3260" w:type="dxa"/>
          </w:tcPr>
          <w:p w14:paraId="1CF3516F" w14:textId="078EAA62" w:rsidR="00547E91" w:rsidRPr="00957313" w:rsidRDefault="00547E91" w:rsidP="00255933">
            <w:pPr>
              <w:jc w:val="both"/>
              <w:rPr>
                <w:rFonts w:ascii="Tahoma" w:hAnsi="Tahoma" w:cs="Tahoma"/>
                <w:bCs/>
              </w:rPr>
            </w:pPr>
          </w:p>
        </w:tc>
      </w:tr>
      <w:tr w:rsidR="00A605EF" w:rsidRPr="00957313" w14:paraId="4C2717DE" w14:textId="77777777" w:rsidTr="0039354B">
        <w:tc>
          <w:tcPr>
            <w:tcW w:w="1447" w:type="dxa"/>
          </w:tcPr>
          <w:p w14:paraId="03190189" w14:textId="77777777" w:rsidR="00A605EF" w:rsidRDefault="00A605EF" w:rsidP="007572CE">
            <w:pPr>
              <w:rPr>
                <w:rFonts w:ascii="Tahoma" w:hAnsi="Tahoma" w:cs="Tahoma"/>
                <w:bCs/>
              </w:rPr>
            </w:pPr>
            <w:r w:rsidRPr="00957313">
              <w:rPr>
                <w:rFonts w:ascii="Tahoma" w:hAnsi="Tahoma" w:cs="Tahoma"/>
                <w:bCs/>
              </w:rPr>
              <w:t xml:space="preserve">Art. </w:t>
            </w:r>
            <w:r w:rsidR="008A470B" w:rsidRPr="008A470B">
              <w:rPr>
                <w:rFonts w:ascii="Tahoma" w:hAnsi="Tahoma" w:cs="Tahoma"/>
                <w:bCs/>
              </w:rPr>
              <w:t>5.1.1.1.</w:t>
            </w:r>
          </w:p>
          <w:p w14:paraId="09AB0AA8" w14:textId="77777777" w:rsidR="008A470B" w:rsidRDefault="008A470B" w:rsidP="007572CE">
            <w:pPr>
              <w:rPr>
                <w:rFonts w:ascii="Tahoma" w:hAnsi="Tahoma" w:cs="Tahoma"/>
                <w:bCs/>
              </w:rPr>
            </w:pPr>
          </w:p>
          <w:p w14:paraId="6CF76E11" w14:textId="77777777" w:rsidR="008A470B" w:rsidRDefault="008A470B" w:rsidP="007572CE">
            <w:pPr>
              <w:rPr>
                <w:rFonts w:ascii="Tahoma" w:hAnsi="Tahoma" w:cs="Tahoma"/>
                <w:bCs/>
              </w:rPr>
            </w:pPr>
          </w:p>
          <w:p w14:paraId="075B9614" w14:textId="77777777" w:rsidR="008A470B" w:rsidRDefault="008A470B" w:rsidP="007572CE">
            <w:pPr>
              <w:rPr>
                <w:rFonts w:ascii="Tahoma" w:hAnsi="Tahoma" w:cs="Tahoma"/>
                <w:bCs/>
              </w:rPr>
            </w:pPr>
          </w:p>
          <w:p w14:paraId="11A249B3" w14:textId="77777777" w:rsidR="008A470B" w:rsidRDefault="008A470B" w:rsidP="007572CE">
            <w:pPr>
              <w:rPr>
                <w:rFonts w:ascii="Tahoma" w:hAnsi="Tahoma" w:cs="Tahoma"/>
                <w:bCs/>
              </w:rPr>
            </w:pPr>
          </w:p>
          <w:p w14:paraId="784547C9" w14:textId="77777777" w:rsidR="008A470B" w:rsidRDefault="008A470B" w:rsidP="007572CE">
            <w:pPr>
              <w:rPr>
                <w:rFonts w:ascii="Tahoma" w:hAnsi="Tahoma" w:cs="Tahoma"/>
                <w:bCs/>
              </w:rPr>
            </w:pPr>
          </w:p>
          <w:p w14:paraId="6EC74BD4" w14:textId="77777777" w:rsidR="008A470B" w:rsidRDefault="008A470B" w:rsidP="007572CE">
            <w:pPr>
              <w:rPr>
                <w:rFonts w:ascii="Tahoma" w:hAnsi="Tahoma" w:cs="Tahoma"/>
                <w:bCs/>
              </w:rPr>
            </w:pPr>
          </w:p>
          <w:p w14:paraId="2FB7DDF4" w14:textId="77777777" w:rsidR="008A470B" w:rsidRDefault="008A470B" w:rsidP="007572CE">
            <w:pPr>
              <w:rPr>
                <w:rFonts w:ascii="Tahoma" w:hAnsi="Tahoma" w:cs="Tahoma"/>
                <w:bCs/>
              </w:rPr>
            </w:pPr>
          </w:p>
          <w:p w14:paraId="691DD552" w14:textId="77777777" w:rsidR="008A470B" w:rsidRDefault="008A470B" w:rsidP="007572CE">
            <w:pPr>
              <w:rPr>
                <w:rFonts w:ascii="Tahoma" w:hAnsi="Tahoma" w:cs="Tahoma"/>
                <w:bCs/>
              </w:rPr>
            </w:pPr>
          </w:p>
          <w:p w14:paraId="2B89FF1B" w14:textId="77777777" w:rsidR="008A470B" w:rsidRDefault="008A470B" w:rsidP="007572CE">
            <w:pPr>
              <w:rPr>
                <w:rFonts w:ascii="Tahoma" w:hAnsi="Tahoma" w:cs="Tahoma"/>
                <w:bCs/>
              </w:rPr>
            </w:pPr>
          </w:p>
          <w:p w14:paraId="414837FB" w14:textId="77777777" w:rsidR="008A470B" w:rsidRDefault="008A470B" w:rsidP="007572CE">
            <w:pPr>
              <w:rPr>
                <w:rFonts w:ascii="Tahoma" w:hAnsi="Tahoma" w:cs="Tahoma"/>
                <w:bCs/>
              </w:rPr>
            </w:pPr>
          </w:p>
          <w:p w14:paraId="14D6E7CE" w14:textId="77777777" w:rsidR="008A470B" w:rsidRDefault="008A470B" w:rsidP="007572CE">
            <w:pPr>
              <w:rPr>
                <w:rFonts w:ascii="Tahoma" w:hAnsi="Tahoma" w:cs="Tahoma"/>
                <w:bCs/>
              </w:rPr>
            </w:pPr>
          </w:p>
          <w:p w14:paraId="4F77BC64" w14:textId="77777777" w:rsidR="008A470B" w:rsidRDefault="008A470B" w:rsidP="007572CE">
            <w:pPr>
              <w:rPr>
                <w:rFonts w:ascii="Tahoma" w:hAnsi="Tahoma" w:cs="Tahoma"/>
                <w:bCs/>
              </w:rPr>
            </w:pPr>
          </w:p>
          <w:p w14:paraId="23EDE6DD" w14:textId="77777777" w:rsidR="008A470B" w:rsidRDefault="008A470B" w:rsidP="007572CE">
            <w:pPr>
              <w:rPr>
                <w:rFonts w:ascii="Tahoma" w:hAnsi="Tahoma" w:cs="Tahoma"/>
                <w:bCs/>
              </w:rPr>
            </w:pPr>
          </w:p>
          <w:p w14:paraId="3FD04F70" w14:textId="77777777" w:rsidR="008A470B" w:rsidRDefault="008A470B" w:rsidP="007572CE">
            <w:pPr>
              <w:rPr>
                <w:rFonts w:ascii="Tahoma" w:hAnsi="Tahoma" w:cs="Tahoma"/>
                <w:bCs/>
              </w:rPr>
            </w:pPr>
          </w:p>
          <w:p w14:paraId="2D8A937B" w14:textId="77777777" w:rsidR="008A470B" w:rsidRDefault="008A470B" w:rsidP="007572CE">
            <w:pPr>
              <w:rPr>
                <w:rFonts w:ascii="Tahoma" w:hAnsi="Tahoma" w:cs="Tahoma"/>
                <w:bCs/>
              </w:rPr>
            </w:pPr>
          </w:p>
          <w:p w14:paraId="53CDE407" w14:textId="77777777" w:rsidR="008A470B" w:rsidRDefault="008A470B" w:rsidP="007572CE">
            <w:pPr>
              <w:rPr>
                <w:rFonts w:ascii="Tahoma" w:hAnsi="Tahoma" w:cs="Tahoma"/>
                <w:bCs/>
              </w:rPr>
            </w:pPr>
          </w:p>
          <w:p w14:paraId="6BCBF64D" w14:textId="77777777" w:rsidR="008A470B" w:rsidRDefault="008A470B" w:rsidP="007572CE">
            <w:pPr>
              <w:rPr>
                <w:rFonts w:ascii="Tahoma" w:hAnsi="Tahoma" w:cs="Tahoma"/>
                <w:bCs/>
              </w:rPr>
            </w:pPr>
          </w:p>
          <w:p w14:paraId="58CE9D02" w14:textId="77777777" w:rsidR="008A470B" w:rsidRDefault="008A470B" w:rsidP="007572CE">
            <w:pPr>
              <w:rPr>
                <w:rFonts w:ascii="Tahoma" w:hAnsi="Tahoma" w:cs="Tahoma"/>
                <w:bCs/>
              </w:rPr>
            </w:pPr>
          </w:p>
          <w:p w14:paraId="4B226EAA" w14:textId="77777777" w:rsidR="008A470B" w:rsidRDefault="008A470B" w:rsidP="007572CE">
            <w:pPr>
              <w:rPr>
                <w:rFonts w:ascii="Tahoma" w:hAnsi="Tahoma" w:cs="Tahoma"/>
                <w:bCs/>
              </w:rPr>
            </w:pPr>
          </w:p>
          <w:p w14:paraId="2460DB97" w14:textId="77777777" w:rsidR="008A470B" w:rsidRDefault="008A470B" w:rsidP="007572CE">
            <w:pPr>
              <w:rPr>
                <w:rFonts w:ascii="Tahoma" w:hAnsi="Tahoma" w:cs="Tahoma"/>
                <w:bCs/>
              </w:rPr>
            </w:pPr>
          </w:p>
          <w:p w14:paraId="30AE482E" w14:textId="77777777" w:rsidR="008A470B" w:rsidRDefault="008A470B" w:rsidP="007572CE">
            <w:pPr>
              <w:rPr>
                <w:rFonts w:ascii="Tahoma" w:hAnsi="Tahoma" w:cs="Tahoma"/>
                <w:bCs/>
              </w:rPr>
            </w:pPr>
          </w:p>
          <w:p w14:paraId="772AF2D0" w14:textId="77777777" w:rsidR="008A470B" w:rsidRDefault="008A470B" w:rsidP="007572CE">
            <w:pPr>
              <w:rPr>
                <w:rFonts w:ascii="Tahoma" w:hAnsi="Tahoma" w:cs="Tahoma"/>
                <w:bCs/>
              </w:rPr>
            </w:pPr>
          </w:p>
          <w:p w14:paraId="480C72C3" w14:textId="77777777" w:rsidR="008A470B" w:rsidRDefault="008A470B" w:rsidP="007572CE">
            <w:pPr>
              <w:rPr>
                <w:rFonts w:ascii="Tahoma" w:hAnsi="Tahoma" w:cs="Tahoma"/>
              </w:rPr>
            </w:pPr>
          </w:p>
          <w:p w14:paraId="79032296" w14:textId="0126C97D" w:rsidR="008A470B" w:rsidRPr="00957313" w:rsidRDefault="008A470B" w:rsidP="007572CE">
            <w:pPr>
              <w:rPr>
                <w:rFonts w:ascii="Tahoma" w:hAnsi="Tahoma" w:cs="Tahoma"/>
              </w:rPr>
            </w:pPr>
            <w:r w:rsidRPr="008A470B">
              <w:rPr>
                <w:rFonts w:ascii="Tahoma" w:hAnsi="Tahoma" w:cs="Tahoma"/>
              </w:rPr>
              <w:t>5.1.1.3.</w:t>
            </w:r>
          </w:p>
        </w:tc>
        <w:tc>
          <w:tcPr>
            <w:tcW w:w="2864" w:type="dxa"/>
          </w:tcPr>
          <w:p w14:paraId="194711BC" w14:textId="6B748B22" w:rsidR="008A470B" w:rsidRPr="008A470B" w:rsidRDefault="008A470B" w:rsidP="008A470B">
            <w:pPr>
              <w:rPr>
                <w:rFonts w:ascii="Tahoma" w:hAnsi="Tahoma" w:cs="Tahoma"/>
              </w:rPr>
            </w:pPr>
            <w:r w:rsidRPr="008A470B">
              <w:rPr>
                <w:rFonts w:ascii="Tahoma" w:hAnsi="Tahoma" w:cs="Tahoma"/>
              </w:rPr>
              <w:tab/>
              <w:t>Înregistrarea la PCTL este permisă numai operatorilor economici prevăzuti la art. 3 din Regulament, respectiv:</w:t>
            </w:r>
          </w:p>
          <w:p w14:paraId="5680244D" w14:textId="0F59EC88" w:rsidR="008A470B" w:rsidRDefault="008A470B" w:rsidP="008A470B">
            <w:pPr>
              <w:rPr>
                <w:rFonts w:ascii="Tahoma" w:hAnsi="Tahoma" w:cs="Tahoma"/>
              </w:rPr>
            </w:pPr>
            <w:r w:rsidRPr="008A470B">
              <w:rPr>
                <w:rFonts w:ascii="Tahoma" w:hAnsi="Tahoma" w:cs="Tahoma"/>
              </w:rPr>
              <w:t>a)</w:t>
            </w:r>
            <w:r w:rsidRPr="008A470B">
              <w:rPr>
                <w:rFonts w:ascii="Tahoma" w:hAnsi="Tahoma" w:cs="Tahoma"/>
              </w:rPr>
              <w:tab/>
              <w:t>Operatorilor economici care urmează să construiască și să racordeze o capacitate de producere a energiei electrice sau de producere a energiei electrice și termice în cogenerare, care va produce energia electrică tranzacționată în baza contractului încheiat pe Piața centralizată destinată atribuirii contractelor de energie electrică pentru perioade lungi de livrare, în calitate de vânzători de energie electrică;</w:t>
            </w:r>
          </w:p>
          <w:p w14:paraId="07D3CA97" w14:textId="77777777" w:rsidR="008A470B" w:rsidRPr="008A470B" w:rsidRDefault="008A470B" w:rsidP="008A470B">
            <w:pPr>
              <w:rPr>
                <w:rFonts w:ascii="Tahoma" w:hAnsi="Tahoma" w:cs="Tahoma"/>
              </w:rPr>
            </w:pPr>
          </w:p>
          <w:p w14:paraId="714CF034" w14:textId="77777777" w:rsidR="00A605EF" w:rsidRDefault="008A470B" w:rsidP="008A470B">
            <w:pPr>
              <w:rPr>
                <w:rFonts w:ascii="Tahoma" w:hAnsi="Tahoma" w:cs="Tahoma"/>
              </w:rPr>
            </w:pPr>
            <w:r w:rsidRPr="008A470B">
              <w:rPr>
                <w:rFonts w:ascii="Tahoma" w:hAnsi="Tahoma" w:cs="Tahoma"/>
              </w:rPr>
              <w:t>Documentele necesare înregistrării la PCTL sunt:</w:t>
            </w:r>
          </w:p>
          <w:p w14:paraId="0852D5E6" w14:textId="6AF32869" w:rsidR="008A470B" w:rsidRPr="00957313" w:rsidRDefault="008A470B" w:rsidP="008A470B">
            <w:pPr>
              <w:rPr>
                <w:rFonts w:ascii="Tahoma" w:hAnsi="Tahoma" w:cs="Tahoma"/>
              </w:rPr>
            </w:pPr>
            <w:r w:rsidRPr="008A470B">
              <w:rPr>
                <w:rFonts w:ascii="Tahoma" w:hAnsi="Tahoma" w:cs="Tahoma"/>
              </w:rPr>
              <w:t>h)</w:t>
            </w:r>
            <w:r w:rsidRPr="008A470B">
              <w:rPr>
                <w:rFonts w:ascii="Tahoma" w:hAnsi="Tahoma" w:cs="Tahoma"/>
              </w:rPr>
              <w:tab/>
              <w:t xml:space="preserve">Autorizația de înființare prin care i se acordă permisiunea de a retehnologiza sau a  pune în funcțiune capacități de producere a energiei electrice/termice în </w:t>
            </w:r>
            <w:r w:rsidRPr="008A470B">
              <w:rPr>
                <w:rFonts w:ascii="Tahoma" w:hAnsi="Tahoma" w:cs="Tahoma"/>
              </w:rPr>
              <w:lastRenderedPageBreak/>
              <w:t>cogenerare, emisă de ANRE privind exploatarea comercială a capacității de producere a energiei el</w:t>
            </w:r>
            <w:r w:rsidR="00BA09CB">
              <w:rPr>
                <w:rFonts w:ascii="Tahoma" w:hAnsi="Tahoma" w:cs="Tahoma"/>
              </w:rPr>
              <w:t>e</w:t>
            </w:r>
            <w:r w:rsidRPr="008A470B">
              <w:rPr>
                <w:rFonts w:ascii="Tahoma" w:hAnsi="Tahoma" w:cs="Tahoma"/>
              </w:rPr>
              <w:t>ctrice, inclusiv a energiei produse în cogenerare (copie), în cazul participantului ce se înregistrează în calitate de vânzător;</w:t>
            </w:r>
          </w:p>
        </w:tc>
        <w:tc>
          <w:tcPr>
            <w:tcW w:w="4082" w:type="dxa"/>
          </w:tcPr>
          <w:p w14:paraId="6CE48057" w14:textId="6CDD20DD" w:rsidR="00E47E84" w:rsidRPr="00957313" w:rsidRDefault="008A470B" w:rsidP="007572CE">
            <w:pPr>
              <w:jc w:val="both"/>
              <w:rPr>
                <w:rFonts w:ascii="Tahoma" w:hAnsi="Tahoma" w:cs="Tahoma"/>
                <w:bCs/>
              </w:rPr>
            </w:pPr>
            <w:r>
              <w:rPr>
                <w:rFonts w:eastAsia="Times New Roman"/>
              </w:rPr>
              <w:lastRenderedPageBreak/>
              <w:t>art 5.1.1.1 a nu e corelat cu 5.1.1.3 h –</w:t>
            </w:r>
            <w:r>
              <w:rPr>
                <w:rFonts w:eastAsia="Times New Roman"/>
                <w:color w:val="FF0000"/>
              </w:rPr>
              <w:t>trebue precizat daca procedura acopera si retehnologizarea capacitatilor de productie ee</w:t>
            </w:r>
          </w:p>
        </w:tc>
        <w:tc>
          <w:tcPr>
            <w:tcW w:w="3402" w:type="dxa"/>
          </w:tcPr>
          <w:p w14:paraId="151C74C2" w14:textId="5A71A2B4" w:rsidR="00A605EF" w:rsidRPr="00957313" w:rsidRDefault="00023698" w:rsidP="007572CE">
            <w:pPr>
              <w:jc w:val="both"/>
              <w:rPr>
                <w:rFonts w:ascii="Tahoma" w:hAnsi="Tahoma" w:cs="Tahoma"/>
                <w:bCs/>
              </w:rPr>
            </w:pPr>
            <w:r>
              <w:rPr>
                <w:rFonts w:ascii="Tahoma" w:hAnsi="Tahoma" w:cs="Tahoma"/>
                <w:bCs/>
              </w:rPr>
              <w:t>Se accepta.</w:t>
            </w:r>
          </w:p>
        </w:tc>
        <w:tc>
          <w:tcPr>
            <w:tcW w:w="3260" w:type="dxa"/>
          </w:tcPr>
          <w:p w14:paraId="0335BD48" w14:textId="77777777" w:rsidR="00741062" w:rsidRDefault="00741062" w:rsidP="00023698">
            <w:pPr>
              <w:rPr>
                <w:rFonts w:ascii="Tahoma" w:hAnsi="Tahoma" w:cs="Tahoma"/>
              </w:rPr>
            </w:pPr>
            <w:r>
              <w:rPr>
                <w:rFonts w:ascii="Tahoma" w:hAnsi="Tahoma" w:cs="Tahoma"/>
              </w:rPr>
              <w:t>[...]</w:t>
            </w:r>
          </w:p>
          <w:p w14:paraId="55BB1897" w14:textId="4F1FEE91" w:rsidR="00023698" w:rsidRDefault="00741062" w:rsidP="00023698">
            <w:pPr>
              <w:rPr>
                <w:rFonts w:ascii="Tahoma" w:hAnsi="Tahoma" w:cs="Tahoma"/>
              </w:rPr>
            </w:pPr>
            <w:r>
              <w:rPr>
                <w:rFonts w:ascii="Tahoma" w:hAnsi="Tahoma" w:cs="Tahoma"/>
              </w:rPr>
              <w:t xml:space="preserve">5.1.1.3. </w:t>
            </w:r>
            <w:r w:rsidR="00023698" w:rsidRPr="008A470B">
              <w:rPr>
                <w:rFonts w:ascii="Tahoma" w:hAnsi="Tahoma" w:cs="Tahoma"/>
              </w:rPr>
              <w:t>Documentele necesare înregistrării la PCTL sunt:</w:t>
            </w:r>
          </w:p>
          <w:p w14:paraId="7FB7E05C" w14:textId="766A66B5" w:rsidR="00A605EF" w:rsidRPr="00957313" w:rsidRDefault="00023698" w:rsidP="00023698">
            <w:pPr>
              <w:jc w:val="both"/>
              <w:rPr>
                <w:rFonts w:ascii="Tahoma" w:hAnsi="Tahoma" w:cs="Tahoma"/>
                <w:bCs/>
              </w:rPr>
            </w:pPr>
            <w:r w:rsidRPr="008A470B">
              <w:rPr>
                <w:rFonts w:ascii="Tahoma" w:hAnsi="Tahoma" w:cs="Tahoma"/>
              </w:rPr>
              <w:t>h)</w:t>
            </w:r>
            <w:r w:rsidRPr="008A470B">
              <w:rPr>
                <w:rFonts w:ascii="Tahoma" w:hAnsi="Tahoma" w:cs="Tahoma"/>
              </w:rPr>
              <w:tab/>
              <w:t xml:space="preserve">Autorizația de înființare prin care i se acordă permisiunea de </w:t>
            </w:r>
            <w:r w:rsidRPr="00BA09CB">
              <w:rPr>
                <w:rFonts w:ascii="Tahoma" w:hAnsi="Tahoma" w:cs="Tahoma"/>
                <w:strike/>
              </w:rPr>
              <w:t>a retehnologiza sau</w:t>
            </w:r>
            <w:r w:rsidRPr="008A470B">
              <w:rPr>
                <w:rFonts w:ascii="Tahoma" w:hAnsi="Tahoma" w:cs="Tahoma"/>
              </w:rPr>
              <w:t xml:space="preserve"> a  pune în funcțiune capacități de producere a energiei electrice/termice în</w:t>
            </w:r>
            <w:r>
              <w:t xml:space="preserve"> </w:t>
            </w:r>
            <w:r w:rsidRPr="00023698">
              <w:rPr>
                <w:rFonts w:ascii="Tahoma" w:hAnsi="Tahoma" w:cs="Tahoma"/>
              </w:rPr>
              <w:t>cogenerare, emisă de ANRE privind exploatarea comercială a capacității de producere a energiei el</w:t>
            </w:r>
            <w:r w:rsidR="00BA09CB">
              <w:rPr>
                <w:rFonts w:ascii="Tahoma" w:hAnsi="Tahoma" w:cs="Tahoma"/>
              </w:rPr>
              <w:t>e</w:t>
            </w:r>
            <w:r w:rsidRPr="00023698">
              <w:rPr>
                <w:rFonts w:ascii="Tahoma" w:hAnsi="Tahoma" w:cs="Tahoma"/>
              </w:rPr>
              <w:t>ctrice, inclusiv a energiei produse în cogenerare (copie), în cazul participantului ce se înregistrează în calitate de vânzător;</w:t>
            </w:r>
          </w:p>
        </w:tc>
      </w:tr>
      <w:tr w:rsidR="00023698" w:rsidRPr="00957313" w14:paraId="40C60CC2" w14:textId="77777777" w:rsidTr="0039354B">
        <w:tc>
          <w:tcPr>
            <w:tcW w:w="1447" w:type="dxa"/>
          </w:tcPr>
          <w:p w14:paraId="724752E4" w14:textId="7272F13A" w:rsidR="00023698" w:rsidRPr="00957313" w:rsidRDefault="00023698" w:rsidP="007572CE">
            <w:pPr>
              <w:rPr>
                <w:rFonts w:ascii="Tahoma" w:hAnsi="Tahoma" w:cs="Tahoma"/>
                <w:bCs/>
              </w:rPr>
            </w:pPr>
            <w:r w:rsidRPr="00023698">
              <w:rPr>
                <w:rFonts w:ascii="Tahoma" w:hAnsi="Tahoma" w:cs="Tahoma"/>
                <w:bCs/>
              </w:rPr>
              <w:t>Art. 5.1.6.1</w:t>
            </w:r>
          </w:p>
        </w:tc>
        <w:tc>
          <w:tcPr>
            <w:tcW w:w="2864" w:type="dxa"/>
          </w:tcPr>
          <w:p w14:paraId="3543DC15" w14:textId="6D890F50" w:rsidR="00023698" w:rsidRPr="008A470B" w:rsidRDefault="00023698" w:rsidP="008A470B">
            <w:pPr>
              <w:rPr>
                <w:rFonts w:ascii="Tahoma" w:hAnsi="Tahoma" w:cs="Tahoma"/>
              </w:rPr>
            </w:pPr>
            <w:r w:rsidRPr="00023698">
              <w:rPr>
                <w:rFonts w:ascii="Tahoma" w:hAnsi="Tahoma" w:cs="Tahoma"/>
              </w:rPr>
              <w:t>Participantul la PCTL asigură actualizarea documentelor depuse pentru înregistrare la PCTL, în termen de 1 (o) zi lucrătoare de la data apariției modificărilor, ori de câte ori acestea intervin faţă de versiunile documentelor depuse</w:t>
            </w:r>
          </w:p>
        </w:tc>
        <w:tc>
          <w:tcPr>
            <w:tcW w:w="4082" w:type="dxa"/>
          </w:tcPr>
          <w:p w14:paraId="6550682C" w14:textId="3E1D64BA" w:rsidR="00023698" w:rsidRPr="00023698" w:rsidRDefault="00023698" w:rsidP="00023698">
            <w:pPr>
              <w:jc w:val="both"/>
              <w:rPr>
                <w:rFonts w:eastAsia="Times New Roman"/>
                <w:color w:val="0070C0"/>
                <w:lang w:val="es-PE"/>
              </w:rPr>
            </w:pPr>
            <w:r w:rsidRPr="00023698">
              <w:rPr>
                <w:rFonts w:eastAsia="Times New Roman"/>
                <w:lang w:val="es-PE"/>
              </w:rPr>
              <w:t xml:space="preserve"> </w:t>
            </w:r>
            <w:proofErr w:type="spellStart"/>
            <w:r w:rsidRPr="00023698">
              <w:rPr>
                <w:rFonts w:eastAsia="Times New Roman"/>
                <w:color w:val="FF0000"/>
                <w:lang w:val="es-PE"/>
              </w:rPr>
              <w:t>termenul</w:t>
            </w:r>
            <w:proofErr w:type="spellEnd"/>
            <w:r w:rsidRPr="00023698">
              <w:rPr>
                <w:rFonts w:eastAsia="Times New Roman"/>
                <w:color w:val="FF0000"/>
                <w:lang w:val="es-PE"/>
              </w:rPr>
              <w:t xml:space="preserve"> este </w:t>
            </w:r>
            <w:proofErr w:type="spellStart"/>
            <w:r w:rsidRPr="00023698">
              <w:rPr>
                <w:rFonts w:eastAsia="Times New Roman"/>
                <w:color w:val="FF0000"/>
                <w:lang w:val="es-PE"/>
              </w:rPr>
              <w:t>mult</w:t>
            </w:r>
            <w:proofErr w:type="spellEnd"/>
            <w:r w:rsidRPr="00023698">
              <w:rPr>
                <w:rFonts w:eastAsia="Times New Roman"/>
                <w:color w:val="FF0000"/>
                <w:lang w:val="es-PE"/>
              </w:rPr>
              <w:t xml:space="preserve"> prea </w:t>
            </w:r>
            <w:proofErr w:type="spellStart"/>
            <w:r w:rsidRPr="00023698">
              <w:rPr>
                <w:rFonts w:eastAsia="Times New Roman"/>
                <w:color w:val="FF0000"/>
                <w:lang w:val="es-PE"/>
              </w:rPr>
              <w:t>scurt</w:t>
            </w:r>
            <w:proofErr w:type="spellEnd"/>
            <w:r w:rsidRPr="00023698">
              <w:rPr>
                <w:rFonts w:eastAsia="Times New Roman"/>
                <w:color w:val="FF0000"/>
                <w:lang w:val="es-PE"/>
              </w:rPr>
              <w:t xml:space="preserve">, </w:t>
            </w:r>
            <w:proofErr w:type="spellStart"/>
            <w:r w:rsidRPr="00023698">
              <w:rPr>
                <w:rFonts w:eastAsia="Times New Roman"/>
                <w:color w:val="FF0000"/>
                <w:lang w:val="es-PE"/>
              </w:rPr>
              <w:t>propunem</w:t>
            </w:r>
            <w:proofErr w:type="spellEnd"/>
            <w:r w:rsidRPr="00023698">
              <w:rPr>
                <w:rFonts w:eastAsia="Times New Roman"/>
                <w:color w:val="FF0000"/>
                <w:lang w:val="es-PE"/>
              </w:rPr>
              <w:t xml:space="preserve"> 5 </w:t>
            </w:r>
            <w:proofErr w:type="spellStart"/>
            <w:r w:rsidRPr="00023698">
              <w:rPr>
                <w:rFonts w:eastAsia="Times New Roman"/>
                <w:color w:val="FF0000"/>
                <w:lang w:val="es-PE"/>
              </w:rPr>
              <w:t>zile</w:t>
            </w:r>
            <w:proofErr w:type="spellEnd"/>
            <w:r w:rsidRPr="00023698">
              <w:rPr>
                <w:rFonts w:eastAsia="Times New Roman"/>
                <w:color w:val="FF0000"/>
                <w:lang w:val="es-PE"/>
              </w:rPr>
              <w:t xml:space="preserve"> </w:t>
            </w:r>
            <w:proofErr w:type="spellStart"/>
            <w:r w:rsidRPr="00023698">
              <w:rPr>
                <w:rFonts w:eastAsia="Times New Roman"/>
                <w:color w:val="FF0000"/>
                <w:lang w:val="es-PE"/>
              </w:rPr>
              <w:t>lucratoare</w:t>
            </w:r>
            <w:proofErr w:type="spellEnd"/>
          </w:p>
          <w:p w14:paraId="075ED0CC" w14:textId="77777777" w:rsidR="00023698" w:rsidRPr="00023698" w:rsidRDefault="00023698" w:rsidP="007572CE">
            <w:pPr>
              <w:jc w:val="both"/>
              <w:rPr>
                <w:rFonts w:eastAsia="Times New Roman"/>
                <w:lang w:val="es-PE"/>
              </w:rPr>
            </w:pPr>
          </w:p>
        </w:tc>
        <w:tc>
          <w:tcPr>
            <w:tcW w:w="3402" w:type="dxa"/>
          </w:tcPr>
          <w:p w14:paraId="5B7CDA4E" w14:textId="2054EFEF" w:rsidR="00023698" w:rsidRPr="00023698" w:rsidRDefault="00BA09CB" w:rsidP="007572CE">
            <w:pPr>
              <w:jc w:val="both"/>
              <w:rPr>
                <w:rFonts w:ascii="Tahoma" w:hAnsi="Tahoma" w:cs="Tahoma"/>
                <w:bCs/>
              </w:rPr>
            </w:pPr>
            <w:r>
              <w:rPr>
                <w:rFonts w:ascii="Tahoma" w:hAnsi="Tahoma" w:cs="Tahoma"/>
                <w:bCs/>
              </w:rPr>
              <w:t>Se accepta.</w:t>
            </w:r>
          </w:p>
        </w:tc>
        <w:tc>
          <w:tcPr>
            <w:tcW w:w="3260" w:type="dxa"/>
          </w:tcPr>
          <w:p w14:paraId="5FCFC504" w14:textId="167C9055" w:rsidR="00023698" w:rsidRPr="00957313" w:rsidRDefault="00BA09CB" w:rsidP="007572CE">
            <w:pPr>
              <w:jc w:val="both"/>
              <w:rPr>
                <w:rFonts w:ascii="Tahoma" w:hAnsi="Tahoma" w:cs="Tahoma"/>
                <w:bCs/>
              </w:rPr>
            </w:pPr>
            <w:r w:rsidRPr="00BA09CB">
              <w:rPr>
                <w:rFonts w:ascii="Tahoma" w:hAnsi="Tahoma" w:cs="Tahoma"/>
                <w:bCs/>
              </w:rPr>
              <w:t xml:space="preserve">Participantul la PCTL asigură actualizarea documentelor depuse pentru înregistrare la PCTL, în termen de </w:t>
            </w:r>
            <w:r w:rsidRPr="00741062">
              <w:rPr>
                <w:rFonts w:ascii="Tahoma" w:hAnsi="Tahoma" w:cs="Tahoma"/>
                <w:bCs/>
                <w:i/>
                <w:iCs/>
              </w:rPr>
              <w:t>5 zile lucrătoare</w:t>
            </w:r>
            <w:r w:rsidRPr="00BA09CB">
              <w:rPr>
                <w:rFonts w:ascii="Tahoma" w:hAnsi="Tahoma" w:cs="Tahoma"/>
                <w:bCs/>
              </w:rPr>
              <w:t xml:space="preserve"> de la data apariției modificărilor, ori de câte ori acestea intervin faţă de versiunile documentelor depuse</w:t>
            </w:r>
          </w:p>
        </w:tc>
      </w:tr>
      <w:bookmarkEnd w:id="0"/>
    </w:tbl>
    <w:p w14:paraId="73A19B35" w14:textId="77777777" w:rsidR="0008129D" w:rsidRPr="00957313" w:rsidRDefault="0008129D" w:rsidP="00E85221">
      <w:pPr>
        <w:spacing w:after="0" w:line="240" w:lineRule="auto"/>
        <w:rPr>
          <w:rFonts w:ascii="Tahoma" w:hAnsi="Tahoma" w:cs="Tahoma"/>
        </w:rPr>
      </w:pPr>
    </w:p>
    <w:sectPr w:rsidR="0008129D" w:rsidRPr="00957313" w:rsidSect="005368F0">
      <w:pgSz w:w="16838" w:h="11906" w:orient="landscape"/>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1400"/>
    <w:multiLevelType w:val="hybridMultilevel"/>
    <w:tmpl w:val="90B86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89003B7"/>
    <w:multiLevelType w:val="hybridMultilevel"/>
    <w:tmpl w:val="4A4A7322"/>
    <w:lvl w:ilvl="0" w:tplc="80105B34">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9"/>
  </w:num>
  <w:num w:numId="4">
    <w:abstractNumId w:val="5"/>
  </w:num>
  <w:num w:numId="5">
    <w:abstractNumId w:val="0"/>
  </w:num>
  <w:num w:numId="6">
    <w:abstractNumId w:val="10"/>
  </w:num>
  <w:num w:numId="7">
    <w:abstractNumId w:val="4"/>
  </w:num>
  <w:num w:numId="8">
    <w:abstractNumId w:val="2"/>
  </w:num>
  <w:num w:numId="9">
    <w:abstractNumId w:val="8"/>
  </w:num>
  <w:num w:numId="10">
    <w:abstractNumId w:val="7"/>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3698"/>
    <w:rsid w:val="00024CAA"/>
    <w:rsid w:val="0004259D"/>
    <w:rsid w:val="000664E5"/>
    <w:rsid w:val="0007590B"/>
    <w:rsid w:val="0008129D"/>
    <w:rsid w:val="00093473"/>
    <w:rsid w:val="00093A94"/>
    <w:rsid w:val="000971A5"/>
    <w:rsid w:val="000A3735"/>
    <w:rsid w:val="000A776A"/>
    <w:rsid w:val="000B1933"/>
    <w:rsid w:val="000C0381"/>
    <w:rsid w:val="000C1322"/>
    <w:rsid w:val="000C6B5A"/>
    <w:rsid w:val="000E2229"/>
    <w:rsid w:val="000E3EFC"/>
    <w:rsid w:val="000E63CF"/>
    <w:rsid w:val="0010246E"/>
    <w:rsid w:val="00103622"/>
    <w:rsid w:val="00103DAC"/>
    <w:rsid w:val="00106013"/>
    <w:rsid w:val="00110A96"/>
    <w:rsid w:val="001119ED"/>
    <w:rsid w:val="00117F1E"/>
    <w:rsid w:val="00124A4E"/>
    <w:rsid w:val="0013638D"/>
    <w:rsid w:val="00146236"/>
    <w:rsid w:val="00146996"/>
    <w:rsid w:val="00147136"/>
    <w:rsid w:val="00152E2E"/>
    <w:rsid w:val="0016073D"/>
    <w:rsid w:val="00166DA3"/>
    <w:rsid w:val="00180DC2"/>
    <w:rsid w:val="00184AB8"/>
    <w:rsid w:val="00191E49"/>
    <w:rsid w:val="001952D1"/>
    <w:rsid w:val="00196A22"/>
    <w:rsid w:val="001972BF"/>
    <w:rsid w:val="001A101C"/>
    <w:rsid w:val="001A751F"/>
    <w:rsid w:val="001C1400"/>
    <w:rsid w:val="001C5C63"/>
    <w:rsid w:val="001E5772"/>
    <w:rsid w:val="001F51BF"/>
    <w:rsid w:val="001F6A83"/>
    <w:rsid w:val="00210C97"/>
    <w:rsid w:val="0021218C"/>
    <w:rsid w:val="00213F60"/>
    <w:rsid w:val="0021790A"/>
    <w:rsid w:val="00223AF8"/>
    <w:rsid w:val="0022681F"/>
    <w:rsid w:val="0022795A"/>
    <w:rsid w:val="002350AC"/>
    <w:rsid w:val="00237AAC"/>
    <w:rsid w:val="00251612"/>
    <w:rsid w:val="00255933"/>
    <w:rsid w:val="00263201"/>
    <w:rsid w:val="00267289"/>
    <w:rsid w:val="00267512"/>
    <w:rsid w:val="002718CF"/>
    <w:rsid w:val="00272BC0"/>
    <w:rsid w:val="002939B0"/>
    <w:rsid w:val="002943B3"/>
    <w:rsid w:val="0029521C"/>
    <w:rsid w:val="002968D3"/>
    <w:rsid w:val="002A7945"/>
    <w:rsid w:val="002B6B0F"/>
    <w:rsid w:val="002B71A0"/>
    <w:rsid w:val="002B7FC7"/>
    <w:rsid w:val="002C42C1"/>
    <w:rsid w:val="002D0D88"/>
    <w:rsid w:val="002D1517"/>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45E9B"/>
    <w:rsid w:val="0035034F"/>
    <w:rsid w:val="00351BAB"/>
    <w:rsid w:val="00356BF0"/>
    <w:rsid w:val="00361711"/>
    <w:rsid w:val="003736B1"/>
    <w:rsid w:val="00374CFE"/>
    <w:rsid w:val="0039354B"/>
    <w:rsid w:val="003A2D21"/>
    <w:rsid w:val="003A4600"/>
    <w:rsid w:val="003A5D3F"/>
    <w:rsid w:val="003C0E28"/>
    <w:rsid w:val="003C390C"/>
    <w:rsid w:val="003D3780"/>
    <w:rsid w:val="003D5D8C"/>
    <w:rsid w:val="003E13C0"/>
    <w:rsid w:val="003E42E6"/>
    <w:rsid w:val="00401FBD"/>
    <w:rsid w:val="00406A48"/>
    <w:rsid w:val="00421483"/>
    <w:rsid w:val="0043291F"/>
    <w:rsid w:val="00440BB9"/>
    <w:rsid w:val="004413C9"/>
    <w:rsid w:val="00446666"/>
    <w:rsid w:val="00451799"/>
    <w:rsid w:val="00452AD8"/>
    <w:rsid w:val="0045577F"/>
    <w:rsid w:val="00456741"/>
    <w:rsid w:val="00456CAE"/>
    <w:rsid w:val="0046134E"/>
    <w:rsid w:val="004648FE"/>
    <w:rsid w:val="0046672A"/>
    <w:rsid w:val="00475967"/>
    <w:rsid w:val="004765AC"/>
    <w:rsid w:val="004832EA"/>
    <w:rsid w:val="0048523C"/>
    <w:rsid w:val="0048553B"/>
    <w:rsid w:val="0049333E"/>
    <w:rsid w:val="00496E2D"/>
    <w:rsid w:val="004B00A6"/>
    <w:rsid w:val="004B248D"/>
    <w:rsid w:val="004C15A1"/>
    <w:rsid w:val="004E2AEA"/>
    <w:rsid w:val="004F39ED"/>
    <w:rsid w:val="00514534"/>
    <w:rsid w:val="005217FE"/>
    <w:rsid w:val="00525B50"/>
    <w:rsid w:val="00531751"/>
    <w:rsid w:val="005368F0"/>
    <w:rsid w:val="0054038F"/>
    <w:rsid w:val="00543CC3"/>
    <w:rsid w:val="005475C2"/>
    <w:rsid w:val="00547E91"/>
    <w:rsid w:val="00561360"/>
    <w:rsid w:val="0057064E"/>
    <w:rsid w:val="0057305C"/>
    <w:rsid w:val="0057431F"/>
    <w:rsid w:val="0057513A"/>
    <w:rsid w:val="005833CF"/>
    <w:rsid w:val="00596C8A"/>
    <w:rsid w:val="005A3C80"/>
    <w:rsid w:val="005B0DE9"/>
    <w:rsid w:val="005C4A40"/>
    <w:rsid w:val="005D2D72"/>
    <w:rsid w:val="005D5B01"/>
    <w:rsid w:val="005D687A"/>
    <w:rsid w:val="005D7111"/>
    <w:rsid w:val="005E20D1"/>
    <w:rsid w:val="005F73F0"/>
    <w:rsid w:val="00610B74"/>
    <w:rsid w:val="00616089"/>
    <w:rsid w:val="006175B1"/>
    <w:rsid w:val="00620D04"/>
    <w:rsid w:val="0063307C"/>
    <w:rsid w:val="00641429"/>
    <w:rsid w:val="00645E52"/>
    <w:rsid w:val="00652444"/>
    <w:rsid w:val="00667132"/>
    <w:rsid w:val="00672C0D"/>
    <w:rsid w:val="00676DC2"/>
    <w:rsid w:val="00680062"/>
    <w:rsid w:val="00680C62"/>
    <w:rsid w:val="006A31D7"/>
    <w:rsid w:val="006C1C5B"/>
    <w:rsid w:val="006D3D78"/>
    <w:rsid w:val="006E299A"/>
    <w:rsid w:val="006E322D"/>
    <w:rsid w:val="006E4C94"/>
    <w:rsid w:val="006F7082"/>
    <w:rsid w:val="00703751"/>
    <w:rsid w:val="007052A0"/>
    <w:rsid w:val="00705743"/>
    <w:rsid w:val="00716E38"/>
    <w:rsid w:val="00725187"/>
    <w:rsid w:val="00733C4D"/>
    <w:rsid w:val="00737179"/>
    <w:rsid w:val="00741062"/>
    <w:rsid w:val="007530EE"/>
    <w:rsid w:val="00755B4A"/>
    <w:rsid w:val="00761887"/>
    <w:rsid w:val="0077159E"/>
    <w:rsid w:val="007817B6"/>
    <w:rsid w:val="00784EDE"/>
    <w:rsid w:val="00786679"/>
    <w:rsid w:val="00792166"/>
    <w:rsid w:val="00793016"/>
    <w:rsid w:val="00793CAC"/>
    <w:rsid w:val="00795F54"/>
    <w:rsid w:val="007A57AB"/>
    <w:rsid w:val="007A6A3F"/>
    <w:rsid w:val="007B0D59"/>
    <w:rsid w:val="007C0AC3"/>
    <w:rsid w:val="007C3593"/>
    <w:rsid w:val="00800FC0"/>
    <w:rsid w:val="0081433D"/>
    <w:rsid w:val="0083010D"/>
    <w:rsid w:val="008337A9"/>
    <w:rsid w:val="008420E2"/>
    <w:rsid w:val="00862C8C"/>
    <w:rsid w:val="00873AB8"/>
    <w:rsid w:val="00877027"/>
    <w:rsid w:val="0087778D"/>
    <w:rsid w:val="00882206"/>
    <w:rsid w:val="00882DCA"/>
    <w:rsid w:val="0088785B"/>
    <w:rsid w:val="00890806"/>
    <w:rsid w:val="00894561"/>
    <w:rsid w:val="008A470B"/>
    <w:rsid w:val="008A51D1"/>
    <w:rsid w:val="008B0959"/>
    <w:rsid w:val="008C0148"/>
    <w:rsid w:val="008C049A"/>
    <w:rsid w:val="008C2A80"/>
    <w:rsid w:val="008E05F7"/>
    <w:rsid w:val="008E36C0"/>
    <w:rsid w:val="008F3B3B"/>
    <w:rsid w:val="008F7FAD"/>
    <w:rsid w:val="009150A1"/>
    <w:rsid w:val="00916479"/>
    <w:rsid w:val="00921E84"/>
    <w:rsid w:val="00922773"/>
    <w:rsid w:val="00923DB4"/>
    <w:rsid w:val="00957313"/>
    <w:rsid w:val="00963BB3"/>
    <w:rsid w:val="0096662B"/>
    <w:rsid w:val="00970192"/>
    <w:rsid w:val="00970692"/>
    <w:rsid w:val="00971696"/>
    <w:rsid w:val="00975A12"/>
    <w:rsid w:val="00981223"/>
    <w:rsid w:val="009820A8"/>
    <w:rsid w:val="00984744"/>
    <w:rsid w:val="009850D3"/>
    <w:rsid w:val="00987F99"/>
    <w:rsid w:val="009A4BA6"/>
    <w:rsid w:val="009C1372"/>
    <w:rsid w:val="009C79F2"/>
    <w:rsid w:val="009C7C11"/>
    <w:rsid w:val="009C7C68"/>
    <w:rsid w:val="009C7EFB"/>
    <w:rsid w:val="009D0410"/>
    <w:rsid w:val="009E53D5"/>
    <w:rsid w:val="009E57C8"/>
    <w:rsid w:val="009E58CC"/>
    <w:rsid w:val="009F1FEC"/>
    <w:rsid w:val="009F6835"/>
    <w:rsid w:val="00A03A54"/>
    <w:rsid w:val="00A071B8"/>
    <w:rsid w:val="00A15C42"/>
    <w:rsid w:val="00A21FFF"/>
    <w:rsid w:val="00A27D9E"/>
    <w:rsid w:val="00A30AEE"/>
    <w:rsid w:val="00A31B6B"/>
    <w:rsid w:val="00A34832"/>
    <w:rsid w:val="00A366E0"/>
    <w:rsid w:val="00A4150C"/>
    <w:rsid w:val="00A43C52"/>
    <w:rsid w:val="00A462D5"/>
    <w:rsid w:val="00A46D59"/>
    <w:rsid w:val="00A53D7F"/>
    <w:rsid w:val="00A605EF"/>
    <w:rsid w:val="00A60CE1"/>
    <w:rsid w:val="00A615C9"/>
    <w:rsid w:val="00A66BED"/>
    <w:rsid w:val="00A7105C"/>
    <w:rsid w:val="00A90692"/>
    <w:rsid w:val="00AA0C12"/>
    <w:rsid w:val="00AA30B2"/>
    <w:rsid w:val="00AA3839"/>
    <w:rsid w:val="00AA4E5C"/>
    <w:rsid w:val="00AA79C2"/>
    <w:rsid w:val="00AB0903"/>
    <w:rsid w:val="00AB2D19"/>
    <w:rsid w:val="00AD0BC4"/>
    <w:rsid w:val="00AD6DA5"/>
    <w:rsid w:val="00AF1F52"/>
    <w:rsid w:val="00AF28F9"/>
    <w:rsid w:val="00AF480B"/>
    <w:rsid w:val="00AF5144"/>
    <w:rsid w:val="00B017AF"/>
    <w:rsid w:val="00B0670B"/>
    <w:rsid w:val="00B20AEA"/>
    <w:rsid w:val="00B23C96"/>
    <w:rsid w:val="00B23E8B"/>
    <w:rsid w:val="00B241F7"/>
    <w:rsid w:val="00B260E3"/>
    <w:rsid w:val="00B26431"/>
    <w:rsid w:val="00B35FB7"/>
    <w:rsid w:val="00B3713D"/>
    <w:rsid w:val="00B4379C"/>
    <w:rsid w:val="00B43D5E"/>
    <w:rsid w:val="00B45707"/>
    <w:rsid w:val="00B557DC"/>
    <w:rsid w:val="00B64129"/>
    <w:rsid w:val="00B67F94"/>
    <w:rsid w:val="00B73783"/>
    <w:rsid w:val="00B82A45"/>
    <w:rsid w:val="00B837EA"/>
    <w:rsid w:val="00B937F6"/>
    <w:rsid w:val="00B9694B"/>
    <w:rsid w:val="00B97534"/>
    <w:rsid w:val="00BA09CB"/>
    <w:rsid w:val="00BA0F10"/>
    <w:rsid w:val="00BA37CA"/>
    <w:rsid w:val="00BA75C0"/>
    <w:rsid w:val="00BB12DE"/>
    <w:rsid w:val="00BB2A24"/>
    <w:rsid w:val="00BC54F2"/>
    <w:rsid w:val="00BC6E43"/>
    <w:rsid w:val="00BD3377"/>
    <w:rsid w:val="00BD48BA"/>
    <w:rsid w:val="00BD5BF6"/>
    <w:rsid w:val="00BD6FA6"/>
    <w:rsid w:val="00BD727C"/>
    <w:rsid w:val="00BF0A8B"/>
    <w:rsid w:val="00BF1CFD"/>
    <w:rsid w:val="00C135D4"/>
    <w:rsid w:val="00C15203"/>
    <w:rsid w:val="00C25AD9"/>
    <w:rsid w:val="00C26586"/>
    <w:rsid w:val="00C26E78"/>
    <w:rsid w:val="00C34C4F"/>
    <w:rsid w:val="00C377D3"/>
    <w:rsid w:val="00C40287"/>
    <w:rsid w:val="00C4619C"/>
    <w:rsid w:val="00C47A5E"/>
    <w:rsid w:val="00C5015E"/>
    <w:rsid w:val="00C520F5"/>
    <w:rsid w:val="00C537DB"/>
    <w:rsid w:val="00C53A55"/>
    <w:rsid w:val="00C62A31"/>
    <w:rsid w:val="00C653B4"/>
    <w:rsid w:val="00C7499E"/>
    <w:rsid w:val="00CA072C"/>
    <w:rsid w:val="00CA276F"/>
    <w:rsid w:val="00CA280D"/>
    <w:rsid w:val="00CA3056"/>
    <w:rsid w:val="00CB74C0"/>
    <w:rsid w:val="00CC2B01"/>
    <w:rsid w:val="00CC489B"/>
    <w:rsid w:val="00CC55A6"/>
    <w:rsid w:val="00CC6865"/>
    <w:rsid w:val="00CC7FCC"/>
    <w:rsid w:val="00CD2AAB"/>
    <w:rsid w:val="00CD2B52"/>
    <w:rsid w:val="00CD4340"/>
    <w:rsid w:val="00CD5806"/>
    <w:rsid w:val="00CD617B"/>
    <w:rsid w:val="00CD6716"/>
    <w:rsid w:val="00CE1145"/>
    <w:rsid w:val="00D01451"/>
    <w:rsid w:val="00D056D4"/>
    <w:rsid w:val="00D127B0"/>
    <w:rsid w:val="00D14F5E"/>
    <w:rsid w:val="00D16002"/>
    <w:rsid w:val="00D169C5"/>
    <w:rsid w:val="00D25714"/>
    <w:rsid w:val="00D26F96"/>
    <w:rsid w:val="00D311D6"/>
    <w:rsid w:val="00D33A8F"/>
    <w:rsid w:val="00D42675"/>
    <w:rsid w:val="00D45C3C"/>
    <w:rsid w:val="00D45CA6"/>
    <w:rsid w:val="00D460E0"/>
    <w:rsid w:val="00D71167"/>
    <w:rsid w:val="00D724F4"/>
    <w:rsid w:val="00D81B20"/>
    <w:rsid w:val="00D8495A"/>
    <w:rsid w:val="00D85293"/>
    <w:rsid w:val="00D937C6"/>
    <w:rsid w:val="00DB20E3"/>
    <w:rsid w:val="00DB28BC"/>
    <w:rsid w:val="00DB2A17"/>
    <w:rsid w:val="00DB35DD"/>
    <w:rsid w:val="00DC44D3"/>
    <w:rsid w:val="00DC78FC"/>
    <w:rsid w:val="00DC7B78"/>
    <w:rsid w:val="00DD255B"/>
    <w:rsid w:val="00DD5A44"/>
    <w:rsid w:val="00DE6F8F"/>
    <w:rsid w:val="00E066DB"/>
    <w:rsid w:val="00E14FEB"/>
    <w:rsid w:val="00E21E41"/>
    <w:rsid w:val="00E35D03"/>
    <w:rsid w:val="00E36C30"/>
    <w:rsid w:val="00E47E84"/>
    <w:rsid w:val="00E55958"/>
    <w:rsid w:val="00E562BF"/>
    <w:rsid w:val="00E60B80"/>
    <w:rsid w:val="00E65A2D"/>
    <w:rsid w:val="00E85221"/>
    <w:rsid w:val="00E86688"/>
    <w:rsid w:val="00E91E86"/>
    <w:rsid w:val="00E958A1"/>
    <w:rsid w:val="00E976C3"/>
    <w:rsid w:val="00EA7CA8"/>
    <w:rsid w:val="00EB040A"/>
    <w:rsid w:val="00EB0CAA"/>
    <w:rsid w:val="00ED120E"/>
    <w:rsid w:val="00ED5337"/>
    <w:rsid w:val="00ED564D"/>
    <w:rsid w:val="00ED7DDD"/>
    <w:rsid w:val="00EE0828"/>
    <w:rsid w:val="00EE2E40"/>
    <w:rsid w:val="00EF255E"/>
    <w:rsid w:val="00EF35C6"/>
    <w:rsid w:val="00EF7E19"/>
    <w:rsid w:val="00F01D4A"/>
    <w:rsid w:val="00F07EEE"/>
    <w:rsid w:val="00F10AEE"/>
    <w:rsid w:val="00F21293"/>
    <w:rsid w:val="00F313A5"/>
    <w:rsid w:val="00F31681"/>
    <w:rsid w:val="00F3198C"/>
    <w:rsid w:val="00F34864"/>
    <w:rsid w:val="00F34B58"/>
    <w:rsid w:val="00F36FFB"/>
    <w:rsid w:val="00F40FE6"/>
    <w:rsid w:val="00F415F5"/>
    <w:rsid w:val="00F424E7"/>
    <w:rsid w:val="00F46467"/>
    <w:rsid w:val="00F50423"/>
    <w:rsid w:val="00F50AAF"/>
    <w:rsid w:val="00F6096D"/>
    <w:rsid w:val="00F67393"/>
    <w:rsid w:val="00F70ECA"/>
    <w:rsid w:val="00F751CF"/>
    <w:rsid w:val="00F77419"/>
    <w:rsid w:val="00F8042C"/>
    <w:rsid w:val="00F81CE0"/>
    <w:rsid w:val="00F83C10"/>
    <w:rsid w:val="00F840D7"/>
    <w:rsid w:val="00F85966"/>
    <w:rsid w:val="00F930AD"/>
    <w:rsid w:val="00F93D36"/>
    <w:rsid w:val="00F97A33"/>
    <w:rsid w:val="00FA0515"/>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character" w:styleId="Strong">
    <w:name w:val="Strong"/>
    <w:basedOn w:val="DefaultParagraphFont"/>
    <w:uiPriority w:val="22"/>
    <w:qFormat/>
    <w:rsid w:val="0057305C"/>
    <w:rPr>
      <w:b/>
      <w:bCs/>
    </w:rPr>
  </w:style>
  <w:style w:type="character" w:customStyle="1" w:styleId="rvts21">
    <w:name w:val="rvts21"/>
    <w:basedOn w:val="DefaultParagraphFont"/>
    <w:rsid w:val="005475C2"/>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1015615895">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180852408">
      <w:bodyDiv w:val="1"/>
      <w:marLeft w:val="0"/>
      <w:marRight w:val="0"/>
      <w:marTop w:val="0"/>
      <w:marBottom w:val="0"/>
      <w:divBdr>
        <w:top w:val="none" w:sz="0" w:space="0" w:color="auto"/>
        <w:left w:val="none" w:sz="0" w:space="0" w:color="auto"/>
        <w:bottom w:val="none" w:sz="0" w:space="0" w:color="auto"/>
        <w:right w:val="none" w:sz="0" w:space="0" w:color="auto"/>
      </w:divBdr>
    </w:div>
    <w:div w:id="1264921324">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728449892">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70A6-F249-4BEC-9476-DE4F9DBA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371</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Mihaela Constantinescu</cp:lastModifiedBy>
  <cp:revision>6</cp:revision>
  <dcterms:created xsi:type="dcterms:W3CDTF">2020-07-23T14:51:00Z</dcterms:created>
  <dcterms:modified xsi:type="dcterms:W3CDTF">2020-08-04T13:58:00Z</dcterms:modified>
</cp:coreProperties>
</file>